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2C3D" w14:textId="154E0542" w:rsidR="00DC10E7" w:rsidRPr="00A476D5" w:rsidRDefault="00A82A99" w:rsidP="00A476D5">
      <w:pPr>
        <w:spacing w:beforeLines="50" w:before="156" w:afterLines="50" w:after="156" w:line="360" w:lineRule="auto"/>
        <w:jc w:val="center"/>
        <w:rPr>
          <w:rFonts w:ascii="方正小标宋简体" w:eastAsia="方正小标宋简体"/>
          <w:sz w:val="52"/>
          <w:szCs w:val="52"/>
        </w:rPr>
      </w:pPr>
      <w:r w:rsidRPr="00A476D5">
        <w:rPr>
          <w:rFonts w:ascii="方正小标宋简体" w:eastAsia="方正小标宋简体" w:hint="eastAsia"/>
          <w:sz w:val="52"/>
          <w:szCs w:val="52"/>
        </w:rPr>
        <w:t>2022年成人学士学位外语水平考试应考疫情防控须知</w:t>
      </w:r>
    </w:p>
    <w:p w14:paraId="02B9FDE6" w14:textId="77777777" w:rsidR="00DC10E7" w:rsidRPr="00A476D5" w:rsidRDefault="00DC10E7" w:rsidP="00A476D5">
      <w:pPr>
        <w:spacing w:beforeLines="50" w:before="156" w:afterLines="50" w:after="156" w:line="360" w:lineRule="auto"/>
        <w:rPr>
          <w:rFonts w:ascii="仿宋_GB2312" w:eastAsia="仿宋_GB2312"/>
          <w:sz w:val="32"/>
          <w:szCs w:val="32"/>
        </w:rPr>
      </w:pPr>
    </w:p>
    <w:p w14:paraId="344E1CF3" w14:textId="70AE0F80" w:rsidR="00DC10E7" w:rsidRPr="005D16F0" w:rsidRDefault="005D16F0" w:rsidP="005D16F0">
      <w:pPr>
        <w:spacing w:beforeLines="50" w:before="156" w:afterLines="50" w:after="156" w:line="360" w:lineRule="auto"/>
        <w:jc w:val="center"/>
        <w:rPr>
          <w:rFonts w:ascii="仿宋_GB2312" w:eastAsia="仿宋_GB2312"/>
          <w:b/>
          <w:bCs/>
          <w:color w:val="FF0000"/>
          <w:sz w:val="32"/>
          <w:szCs w:val="32"/>
        </w:rPr>
      </w:pPr>
      <w:r>
        <w:rPr>
          <w:rFonts w:ascii="仿宋_GB2312" w:eastAsia="仿宋_GB2312" w:hint="eastAsia"/>
          <w:b/>
          <w:bCs/>
          <w:color w:val="FF0000"/>
          <w:sz w:val="32"/>
          <w:szCs w:val="32"/>
        </w:rPr>
        <w:t>（</w:t>
      </w:r>
      <w:r w:rsidR="00A82A99" w:rsidRPr="005D16F0">
        <w:rPr>
          <w:rFonts w:ascii="仿宋_GB2312" w:eastAsia="仿宋_GB2312" w:hint="eastAsia"/>
          <w:b/>
          <w:bCs/>
          <w:color w:val="FF0000"/>
          <w:sz w:val="32"/>
          <w:szCs w:val="32"/>
        </w:rPr>
        <w:t>若疫情有变化，考试将根据疫情的变化做动态调整</w:t>
      </w:r>
      <w:r>
        <w:rPr>
          <w:rFonts w:ascii="仿宋_GB2312" w:eastAsia="仿宋_GB2312" w:hint="eastAsia"/>
          <w:b/>
          <w:bCs/>
          <w:color w:val="FF0000"/>
          <w:sz w:val="32"/>
          <w:szCs w:val="32"/>
        </w:rPr>
        <w:t>）</w:t>
      </w:r>
    </w:p>
    <w:p w14:paraId="33B95931" w14:textId="77777777" w:rsidR="00DC10E7" w:rsidRPr="005D16F0" w:rsidRDefault="00DC10E7" w:rsidP="00A476D5">
      <w:pPr>
        <w:spacing w:beforeLines="50" w:before="156" w:afterLines="50" w:after="156" w:line="360" w:lineRule="auto"/>
        <w:rPr>
          <w:rFonts w:ascii="仿宋_GB2312" w:eastAsia="仿宋_GB2312"/>
          <w:sz w:val="32"/>
          <w:szCs w:val="32"/>
        </w:rPr>
      </w:pPr>
    </w:p>
    <w:p w14:paraId="689F7F25"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2022年申请成人学士学位广东高校联盟外语水平考试将延期于5月15日举行。为确保广大参考人员的生命健康安全，确保考生顺利赴考，请所有考生知悉以下防疫工作要求并遵照执行。</w:t>
      </w:r>
    </w:p>
    <w:p w14:paraId="49DDA02F"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一、所有考生须注册“粤（穗）康码”（以下简称“粤康码”）。“粤康码”</w:t>
      </w:r>
      <w:proofErr w:type="gramStart"/>
      <w:r w:rsidRPr="00A476D5">
        <w:rPr>
          <w:rFonts w:ascii="仿宋_GB2312" w:eastAsia="仿宋_GB2312" w:hint="eastAsia"/>
          <w:sz w:val="32"/>
          <w:szCs w:val="32"/>
        </w:rPr>
        <w:t>非绿码的</w:t>
      </w:r>
      <w:proofErr w:type="gramEnd"/>
      <w:r w:rsidRPr="00A476D5">
        <w:rPr>
          <w:rFonts w:ascii="仿宋_GB2312" w:eastAsia="仿宋_GB2312" w:hint="eastAsia"/>
          <w:sz w:val="32"/>
          <w:szCs w:val="32"/>
        </w:rPr>
        <w:t>考生，应及时到相关部门核实。</w:t>
      </w:r>
    </w:p>
    <w:p w14:paraId="5656FA92"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二、考生须进行考前14天自我健康观察，每日如实填写考前14天个人健康信息申报表（见附件1），并在参加考试时提交考点工作人员。</w:t>
      </w:r>
    </w:p>
    <w:p w14:paraId="61D7A886"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三、考生应了解考点所在地疫情防控相关要求，考前14天非必要不离开考点所在地级市。所有考生须按照考点属地政府疫情防控政策执行。</w:t>
      </w:r>
    </w:p>
    <w:p w14:paraId="527595DF" w14:textId="77777777" w:rsidR="001F293D"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四、所有考生进入考点时，必须</w:t>
      </w:r>
      <w:proofErr w:type="gramStart"/>
      <w:r w:rsidRPr="00A476D5">
        <w:rPr>
          <w:rFonts w:ascii="仿宋_GB2312" w:eastAsia="仿宋_GB2312" w:hint="eastAsia"/>
          <w:sz w:val="32"/>
          <w:szCs w:val="32"/>
        </w:rPr>
        <w:t>粤康码</w:t>
      </w:r>
      <w:proofErr w:type="gramEnd"/>
      <w:r w:rsidRPr="00A476D5">
        <w:rPr>
          <w:rFonts w:ascii="仿宋_GB2312" w:eastAsia="仿宋_GB2312" w:hint="eastAsia"/>
          <w:sz w:val="32"/>
          <w:szCs w:val="32"/>
        </w:rPr>
        <w:t>为绿码，提供本次考试当日48小时内核酸检测阴性证明（即显示检测结果时间在5月13日15时后），现场测量体温正常（体温&lt;37.3℃)。</w:t>
      </w:r>
      <w:proofErr w:type="gramStart"/>
      <w:r w:rsidRPr="00A37FAF">
        <w:rPr>
          <w:rFonts w:ascii="仿宋_GB2312" w:eastAsia="仿宋_GB2312" w:hint="eastAsia"/>
          <w:b/>
          <w:bCs/>
          <w:sz w:val="32"/>
          <w:szCs w:val="32"/>
        </w:rPr>
        <w:t>粤康码</w:t>
      </w:r>
      <w:proofErr w:type="gramEnd"/>
      <w:r w:rsidRPr="00A37FAF">
        <w:rPr>
          <w:rFonts w:ascii="仿宋_GB2312" w:eastAsia="仿宋_GB2312" w:hint="eastAsia"/>
          <w:b/>
          <w:bCs/>
          <w:sz w:val="32"/>
          <w:szCs w:val="32"/>
        </w:rPr>
        <w:t>为绿码，</w:t>
      </w:r>
      <w:r w:rsidRPr="00A37FAF">
        <w:rPr>
          <w:rFonts w:ascii="仿宋_GB2312" w:eastAsia="仿宋_GB2312" w:hint="eastAsia"/>
          <w:b/>
          <w:bCs/>
          <w:sz w:val="32"/>
          <w:szCs w:val="32"/>
        </w:rPr>
        <w:lastRenderedPageBreak/>
        <w:t>行程卡带星号（非中、高风险区）的考生，需提供考前三天两检阴性证明，现场测量体温正常（体温&lt;37.3℃)。</w:t>
      </w:r>
    </w:p>
    <w:p w14:paraId="3F71E830" w14:textId="4C50CA81"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五、考生有以下情况之一的，不得参加考试。</w:t>
      </w:r>
    </w:p>
    <w:p w14:paraId="0FE55ED2" w14:textId="77777777" w:rsidR="00DC10E7" w:rsidRPr="00A476D5" w:rsidRDefault="00A82A99" w:rsidP="001278A0">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（一）正处于隔离治疗期的确诊病例、无症状感染者，以及隔离期未满的密切接触者、密切接触者的密切接触者；</w:t>
      </w:r>
    </w:p>
    <w:p w14:paraId="6D73488C"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（二）考前14天内，有广东省内中、高风险地区旅居史，有省外疫情中、高风险地区所在县或当地政府宣布全域封闭管理地区旅居史的；</w:t>
      </w:r>
    </w:p>
    <w:p w14:paraId="7AB30DC7"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（三）</w:t>
      </w:r>
      <w:proofErr w:type="gramStart"/>
      <w:r w:rsidRPr="00A476D5">
        <w:rPr>
          <w:rFonts w:ascii="仿宋_GB2312" w:eastAsia="仿宋_GB2312" w:hint="eastAsia"/>
          <w:sz w:val="32"/>
          <w:szCs w:val="32"/>
        </w:rPr>
        <w:t>粤康码为红码或黄码</w:t>
      </w:r>
      <w:proofErr w:type="gramEnd"/>
      <w:r w:rsidRPr="00A476D5">
        <w:rPr>
          <w:rFonts w:ascii="仿宋_GB2312" w:eastAsia="仿宋_GB2312" w:hint="eastAsia"/>
          <w:sz w:val="32"/>
          <w:szCs w:val="32"/>
        </w:rPr>
        <w:t>的；</w:t>
      </w:r>
    </w:p>
    <w:p w14:paraId="4224934A"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（四）不能提供考前48小时内核酸检测阴性证明的；</w:t>
      </w:r>
    </w:p>
    <w:p w14:paraId="10334B70"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（五）现场测量体温不正常（体温≥37.3℃），在临时</w:t>
      </w:r>
      <w:proofErr w:type="gramStart"/>
      <w:r w:rsidRPr="00A476D5">
        <w:rPr>
          <w:rFonts w:ascii="仿宋_GB2312" w:eastAsia="仿宋_GB2312" w:hint="eastAsia"/>
          <w:sz w:val="32"/>
          <w:szCs w:val="32"/>
        </w:rPr>
        <w:t>观察区</w:t>
      </w:r>
      <w:proofErr w:type="gramEnd"/>
      <w:r w:rsidRPr="00A476D5">
        <w:rPr>
          <w:rFonts w:ascii="仿宋_GB2312" w:eastAsia="仿宋_GB2312" w:hint="eastAsia"/>
          <w:sz w:val="32"/>
          <w:szCs w:val="32"/>
        </w:rPr>
        <w:t>适当休息后，再次测量体温仍然不正常的;</w:t>
      </w:r>
    </w:p>
    <w:p w14:paraId="1AE1BB17"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（六）不符合考点所在地地级市政府疫情防控政策相关要求的；</w:t>
      </w:r>
    </w:p>
    <w:p w14:paraId="60D32C0F"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（七）其他情况由现场卫生防疫人员</w:t>
      </w:r>
      <w:proofErr w:type="gramStart"/>
      <w:r w:rsidRPr="00A476D5">
        <w:rPr>
          <w:rFonts w:ascii="仿宋_GB2312" w:eastAsia="仿宋_GB2312" w:hint="eastAsia"/>
          <w:sz w:val="32"/>
          <w:szCs w:val="32"/>
        </w:rPr>
        <w:t>研</w:t>
      </w:r>
      <w:proofErr w:type="gramEnd"/>
      <w:r w:rsidRPr="00A476D5">
        <w:rPr>
          <w:rFonts w:ascii="仿宋_GB2312" w:eastAsia="仿宋_GB2312" w:hint="eastAsia"/>
          <w:sz w:val="32"/>
          <w:szCs w:val="32"/>
        </w:rPr>
        <w:t>判后认定为不能够参加考试的。</w:t>
      </w:r>
    </w:p>
    <w:p w14:paraId="204E18F6"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六、考生进入考点时均要佩戴一次性医用或以上级别口罩，向考点工作人员出示手机上的“粤康码”绿码，接受准考证、身份证、“粤康码”“行程卡”核查，提交健康信息申报表。进入考场前将</w:t>
      </w:r>
      <w:r w:rsidRPr="00A476D5">
        <w:rPr>
          <w:rFonts w:ascii="仿宋_GB2312" w:eastAsia="仿宋_GB2312" w:hint="eastAsia"/>
          <w:sz w:val="32"/>
          <w:szCs w:val="32"/>
        </w:rPr>
        <w:lastRenderedPageBreak/>
        <w:t>手机放在指定地方。</w:t>
      </w:r>
    </w:p>
    <w:p w14:paraId="6F206337"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进入考场后，出现身体异常情况的考生，应根据医疗卫生专业人员指引，先在临时</w:t>
      </w:r>
      <w:proofErr w:type="gramStart"/>
      <w:r w:rsidRPr="00A476D5">
        <w:rPr>
          <w:rFonts w:ascii="仿宋_GB2312" w:eastAsia="仿宋_GB2312" w:hint="eastAsia"/>
          <w:sz w:val="32"/>
          <w:szCs w:val="32"/>
        </w:rPr>
        <w:t>观察区</w:t>
      </w:r>
      <w:proofErr w:type="gramEnd"/>
      <w:r w:rsidRPr="00A476D5">
        <w:rPr>
          <w:rFonts w:ascii="仿宋_GB2312" w:eastAsia="仿宋_GB2312" w:hint="eastAsia"/>
          <w:sz w:val="32"/>
          <w:szCs w:val="32"/>
        </w:rPr>
        <w:t>进行复核评估后作下一步处置，经医疗卫生专业人员专业评估，在保障广大考生和考试工作人员生命安全和身体健康前提下，综合</w:t>
      </w:r>
      <w:proofErr w:type="gramStart"/>
      <w:r w:rsidRPr="00A476D5">
        <w:rPr>
          <w:rFonts w:ascii="仿宋_GB2312" w:eastAsia="仿宋_GB2312" w:hint="eastAsia"/>
          <w:sz w:val="32"/>
          <w:szCs w:val="32"/>
        </w:rPr>
        <w:t>研</w:t>
      </w:r>
      <w:proofErr w:type="gramEnd"/>
      <w:r w:rsidRPr="00A476D5">
        <w:rPr>
          <w:rFonts w:ascii="仿宋_GB2312" w:eastAsia="仿宋_GB2312" w:hint="eastAsia"/>
          <w:sz w:val="32"/>
          <w:szCs w:val="32"/>
        </w:rPr>
        <w:t>判是否具备正常参加考试的条件，具备参加考试条件的，由专人引导前往备用隔离考场；不具备参加考试条件的，不安排参加考试。</w:t>
      </w:r>
    </w:p>
    <w:p w14:paraId="488B2A9E"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七、考生进入考场前应用速干手消毒剂进行手消毒或者洗手；进入备用隔离考场的，必须用速干手消毒剂进行手消毒，且考试过程应全程佩戴口罩。</w:t>
      </w:r>
    </w:p>
    <w:p w14:paraId="1DEED022"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八、考生须自备一次性医用口罩或医用外科口罩，除进行人脸识别等必要的身份验证程序外，考试期间须全程规范佩戴口罩。</w:t>
      </w:r>
    </w:p>
    <w:p w14:paraId="6DB36EEE"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九、考试结束后，考生要按监考员的指令有序离场，保持人员间距，减少交谈。考点可安排各考场错峰离场。</w:t>
      </w:r>
    </w:p>
    <w:p w14:paraId="17B3A4B6" w14:textId="77777777" w:rsidR="00DC10E7" w:rsidRPr="00A37FAF" w:rsidRDefault="00A82A99" w:rsidP="00F90A4A">
      <w:pPr>
        <w:spacing w:beforeLines="50" w:before="156" w:afterLines="100" w:after="312" w:line="360" w:lineRule="auto"/>
        <w:ind w:firstLineChars="200" w:firstLine="643"/>
        <w:rPr>
          <w:rFonts w:ascii="仿宋_GB2312" w:eastAsia="仿宋_GB2312"/>
          <w:b/>
          <w:bCs/>
          <w:sz w:val="32"/>
          <w:szCs w:val="32"/>
        </w:rPr>
      </w:pPr>
      <w:r w:rsidRPr="00A37FAF">
        <w:rPr>
          <w:rFonts w:ascii="仿宋_GB2312" w:eastAsia="仿宋_GB2312" w:hint="eastAsia"/>
          <w:b/>
          <w:bCs/>
          <w:sz w:val="32"/>
          <w:szCs w:val="32"/>
        </w:rPr>
        <w:t>十、因防疫政策会根据疫情制定及调整，考生考前须密切关注学校和考点所在地考试机构及考点的相关通知公告，并按照具体要求执行。</w:t>
      </w:r>
    </w:p>
    <w:p w14:paraId="61C2A485"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十一、考生报考2022年学士学位外语水平考试因疫情防控需要而未能参加考试退费相关事宜：</w:t>
      </w:r>
    </w:p>
    <w:p w14:paraId="032E6A52"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（一）申请退费条件：</w:t>
      </w:r>
    </w:p>
    <w:p w14:paraId="26B183C3"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lastRenderedPageBreak/>
        <w:t>1、正处于隔离治疗期的确诊病例、无症状感染者，以及隔离期未满的密切接触者、密切接触者的密切接触者；</w:t>
      </w:r>
    </w:p>
    <w:p w14:paraId="03189D9F"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2、考前14天内，有广东省内中、高风险地区旅居史，有省外疫情中、高风险地区所在县或当地政府宣布全域封闭管理地区旅居史的；</w:t>
      </w:r>
    </w:p>
    <w:p w14:paraId="626395B5"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3、不符合考点所在地地级市政府疫情防控政策相关要求的；</w:t>
      </w:r>
    </w:p>
    <w:p w14:paraId="21731C65" w14:textId="77777777" w:rsidR="00DC10E7" w:rsidRPr="00CC70D8" w:rsidRDefault="00A82A99" w:rsidP="00F90A4A">
      <w:pPr>
        <w:spacing w:beforeLines="50" w:before="156" w:afterLines="100" w:after="312" w:line="360" w:lineRule="auto"/>
        <w:ind w:firstLineChars="200" w:firstLine="640"/>
        <w:rPr>
          <w:rFonts w:ascii="仿宋_GB2312" w:eastAsia="仿宋_GB2312"/>
          <w:sz w:val="32"/>
          <w:szCs w:val="32"/>
          <w:u w:val="single"/>
        </w:rPr>
      </w:pPr>
      <w:r w:rsidRPr="00CC70D8">
        <w:rPr>
          <w:rFonts w:ascii="仿宋_GB2312" w:eastAsia="仿宋_GB2312" w:hint="eastAsia"/>
          <w:sz w:val="32"/>
          <w:szCs w:val="32"/>
          <w:u w:val="single"/>
        </w:rPr>
        <w:t>（以上三点提交防疫部门、街道(居委)或单位(学校)出具的隔离证明，如健康</w:t>
      </w:r>
      <w:proofErr w:type="gramStart"/>
      <w:r w:rsidRPr="00CC70D8">
        <w:rPr>
          <w:rFonts w:ascii="仿宋_GB2312" w:eastAsia="仿宋_GB2312" w:hint="eastAsia"/>
          <w:sz w:val="32"/>
          <w:szCs w:val="32"/>
          <w:u w:val="single"/>
        </w:rPr>
        <w:t>码信息</w:t>
      </w:r>
      <w:proofErr w:type="gramEnd"/>
      <w:r w:rsidRPr="00CC70D8">
        <w:rPr>
          <w:rFonts w:ascii="仿宋_GB2312" w:eastAsia="仿宋_GB2312" w:hint="eastAsia"/>
          <w:sz w:val="32"/>
          <w:szCs w:val="32"/>
          <w:u w:val="single"/>
        </w:rPr>
        <w:t>有相关文字，也可提交作为证明材料。）</w:t>
      </w:r>
    </w:p>
    <w:p w14:paraId="58151ECA"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4、</w:t>
      </w:r>
      <w:proofErr w:type="gramStart"/>
      <w:r w:rsidRPr="00A476D5">
        <w:rPr>
          <w:rFonts w:ascii="仿宋_GB2312" w:eastAsia="仿宋_GB2312" w:hint="eastAsia"/>
          <w:sz w:val="32"/>
          <w:szCs w:val="32"/>
        </w:rPr>
        <w:t>粤康码为红码或黄码</w:t>
      </w:r>
      <w:proofErr w:type="gramEnd"/>
      <w:r w:rsidRPr="00A476D5">
        <w:rPr>
          <w:rFonts w:ascii="仿宋_GB2312" w:eastAsia="仿宋_GB2312" w:hint="eastAsia"/>
          <w:sz w:val="32"/>
          <w:szCs w:val="32"/>
        </w:rPr>
        <w:t>的；（提供5月14-15日非</w:t>
      </w:r>
      <w:proofErr w:type="gramStart"/>
      <w:r w:rsidRPr="00A476D5">
        <w:rPr>
          <w:rFonts w:ascii="仿宋_GB2312" w:eastAsia="仿宋_GB2312" w:hint="eastAsia"/>
          <w:sz w:val="32"/>
          <w:szCs w:val="32"/>
        </w:rPr>
        <w:t>绿健康码</w:t>
      </w:r>
      <w:proofErr w:type="gramEnd"/>
      <w:r w:rsidRPr="00A476D5">
        <w:rPr>
          <w:rFonts w:ascii="仿宋_GB2312" w:eastAsia="仿宋_GB2312" w:hint="eastAsia"/>
          <w:sz w:val="32"/>
          <w:szCs w:val="32"/>
        </w:rPr>
        <w:t>彩色截图）</w:t>
      </w:r>
    </w:p>
    <w:p w14:paraId="3D4B0BE4"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5、因注射新冠疫苗无法提供考前48小时内核酸检测阴性证明的；（提交注射新冠疫苗证明）</w:t>
      </w:r>
    </w:p>
    <w:p w14:paraId="031401DF"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6、现场测量体温不正常（体温≥37.3℃），在临时</w:t>
      </w:r>
      <w:proofErr w:type="gramStart"/>
      <w:r w:rsidRPr="00A476D5">
        <w:rPr>
          <w:rFonts w:ascii="仿宋_GB2312" w:eastAsia="仿宋_GB2312" w:hint="eastAsia"/>
          <w:sz w:val="32"/>
          <w:szCs w:val="32"/>
        </w:rPr>
        <w:t>观察区</w:t>
      </w:r>
      <w:proofErr w:type="gramEnd"/>
      <w:r w:rsidRPr="00A476D5">
        <w:rPr>
          <w:rFonts w:ascii="仿宋_GB2312" w:eastAsia="仿宋_GB2312" w:hint="eastAsia"/>
          <w:sz w:val="32"/>
          <w:szCs w:val="32"/>
        </w:rPr>
        <w:t>适当休息后，再次测量体温仍然不正常的；其他情况由现场卫生防疫人员</w:t>
      </w:r>
      <w:proofErr w:type="gramStart"/>
      <w:r w:rsidRPr="00A476D5">
        <w:rPr>
          <w:rFonts w:ascii="仿宋_GB2312" w:eastAsia="仿宋_GB2312" w:hint="eastAsia"/>
          <w:sz w:val="32"/>
          <w:szCs w:val="32"/>
        </w:rPr>
        <w:t>研</w:t>
      </w:r>
      <w:proofErr w:type="gramEnd"/>
      <w:r w:rsidRPr="00A476D5">
        <w:rPr>
          <w:rFonts w:ascii="仿宋_GB2312" w:eastAsia="仿宋_GB2312" w:hint="eastAsia"/>
          <w:sz w:val="32"/>
          <w:szCs w:val="32"/>
        </w:rPr>
        <w:t>判后认定为不能够参加考试的。（由考点学校确认现场名单）</w:t>
      </w:r>
    </w:p>
    <w:p w14:paraId="443BBFC3"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（二）考生退费申请时间：</w:t>
      </w:r>
      <w:r w:rsidRPr="00A476D5">
        <w:rPr>
          <w:rFonts w:ascii="仿宋_GB2312" w:eastAsia="仿宋_GB2312" w:hint="eastAsia"/>
          <w:sz w:val="32"/>
          <w:szCs w:val="32"/>
          <w:highlight w:val="yellow"/>
        </w:rPr>
        <w:t>2022年5月14-18日</w:t>
      </w:r>
      <w:r w:rsidRPr="00A476D5">
        <w:rPr>
          <w:rFonts w:ascii="仿宋_GB2312" w:eastAsia="仿宋_GB2312" w:hint="eastAsia"/>
          <w:sz w:val="32"/>
          <w:szCs w:val="32"/>
        </w:rPr>
        <w:t>20：00前提出申请</w:t>
      </w:r>
    </w:p>
    <w:p w14:paraId="43387814"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（三）退费申请流程：</w:t>
      </w:r>
    </w:p>
    <w:p w14:paraId="686361BE"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1、考生通过系统向所在主考院校提交退费申请，提交所需验</w:t>
      </w:r>
      <w:r w:rsidRPr="00A476D5">
        <w:rPr>
          <w:rFonts w:ascii="仿宋_GB2312" w:eastAsia="仿宋_GB2312" w:hint="eastAsia"/>
          <w:sz w:val="32"/>
          <w:szCs w:val="32"/>
        </w:rPr>
        <w:lastRenderedPageBreak/>
        <w:t>核资料（包括退费条件相关证明和考生退费申请所需资料）；</w:t>
      </w:r>
    </w:p>
    <w:p w14:paraId="47A9A4FE"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2、</w:t>
      </w:r>
      <w:r w:rsidRPr="00A476D5">
        <w:rPr>
          <w:rFonts w:ascii="仿宋_GB2312" w:eastAsia="仿宋_GB2312" w:hint="eastAsia"/>
          <w:sz w:val="32"/>
          <w:szCs w:val="32"/>
          <w:highlight w:val="yellow"/>
        </w:rPr>
        <w:t>5月18-20日</w:t>
      </w:r>
      <w:r w:rsidRPr="00A476D5">
        <w:rPr>
          <w:rFonts w:ascii="仿宋_GB2312" w:eastAsia="仿宋_GB2312" w:hint="eastAsia"/>
          <w:sz w:val="32"/>
          <w:szCs w:val="32"/>
        </w:rPr>
        <w:t>主考院校认真审核考生是否符合退费要求，并校对考生提交资料是否清晰完整，方可在系统通过审核；</w:t>
      </w:r>
    </w:p>
    <w:p w14:paraId="522B7E7C"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3、系统在5月23日按考点生成退费汇总名单和考生退费申请所需资料的扫描件（按考生姓名准考证</w:t>
      </w:r>
      <w:proofErr w:type="gramStart"/>
      <w:r w:rsidRPr="00A476D5">
        <w:rPr>
          <w:rFonts w:ascii="仿宋_GB2312" w:eastAsia="仿宋_GB2312" w:hint="eastAsia"/>
          <w:sz w:val="32"/>
          <w:szCs w:val="32"/>
        </w:rPr>
        <w:t>号码建</w:t>
      </w:r>
      <w:proofErr w:type="gramEnd"/>
      <w:r w:rsidRPr="00A476D5">
        <w:rPr>
          <w:rFonts w:ascii="仿宋_GB2312" w:eastAsia="仿宋_GB2312" w:hint="eastAsia"/>
          <w:sz w:val="32"/>
          <w:szCs w:val="32"/>
        </w:rPr>
        <w:t>文件夹保存材料）</w:t>
      </w:r>
    </w:p>
    <w:p w14:paraId="69A04F8F"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4、联盟工作组在收到退费资料2周的工作日时间内退至考生银行账户。</w:t>
      </w:r>
    </w:p>
    <w:p w14:paraId="46190C19" w14:textId="610E7F6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5、退费处理完毕后，录入退费结果状态。考生可以立即在考生端看到。</w:t>
      </w:r>
    </w:p>
    <w:p w14:paraId="49F1EB2E"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（四）考生退费申请所需资料:</w:t>
      </w:r>
    </w:p>
    <w:p w14:paraId="60D82438"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1、提供退费人本人身份证复印件，</w:t>
      </w:r>
    </w:p>
    <w:p w14:paraId="5EF25062"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2、考生本人银行卡复印件并在</w:t>
      </w:r>
      <w:proofErr w:type="gramStart"/>
      <w:r w:rsidRPr="00A476D5">
        <w:rPr>
          <w:rFonts w:ascii="仿宋_GB2312" w:eastAsia="仿宋_GB2312" w:hint="eastAsia"/>
          <w:sz w:val="32"/>
          <w:szCs w:val="32"/>
        </w:rPr>
        <w:t>银行卡复件</w:t>
      </w:r>
      <w:proofErr w:type="gramEnd"/>
      <w:r w:rsidRPr="00A476D5">
        <w:rPr>
          <w:rFonts w:ascii="仿宋_GB2312" w:eastAsia="仿宋_GB2312" w:hint="eastAsia"/>
          <w:sz w:val="32"/>
          <w:szCs w:val="32"/>
        </w:rPr>
        <w:t>上注明：开户名称、银行卡账号、开户行地址（请具体到支行，如：广东省广州市中国银行广州黄石东支行）。</w:t>
      </w:r>
      <w:r w:rsidRPr="00C75EF0">
        <w:rPr>
          <w:rFonts w:ascii="仿宋_GB2312" w:eastAsia="仿宋_GB2312" w:hint="eastAsia"/>
          <w:b/>
          <w:bCs/>
          <w:sz w:val="32"/>
          <w:szCs w:val="32"/>
        </w:rPr>
        <w:t>考生需确认提交的银行</w:t>
      </w:r>
      <w:proofErr w:type="gramStart"/>
      <w:r w:rsidRPr="00C75EF0">
        <w:rPr>
          <w:rFonts w:ascii="仿宋_GB2312" w:eastAsia="仿宋_GB2312" w:hint="eastAsia"/>
          <w:b/>
          <w:bCs/>
          <w:sz w:val="32"/>
          <w:szCs w:val="32"/>
        </w:rPr>
        <w:t>卡正常</w:t>
      </w:r>
      <w:proofErr w:type="gramEnd"/>
      <w:r w:rsidRPr="00C75EF0">
        <w:rPr>
          <w:rFonts w:ascii="仿宋_GB2312" w:eastAsia="仿宋_GB2312" w:hint="eastAsia"/>
          <w:b/>
          <w:bCs/>
          <w:sz w:val="32"/>
          <w:szCs w:val="32"/>
        </w:rPr>
        <w:t>办理转入转出业务。</w:t>
      </w:r>
    </w:p>
    <w:p w14:paraId="1102A9DA"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3、考生联系电话。</w:t>
      </w:r>
    </w:p>
    <w:p w14:paraId="2E3AD967" w14:textId="77777777" w:rsidR="00DC10E7" w:rsidRPr="00A476D5" w:rsidRDefault="00A82A99" w:rsidP="00F90A4A">
      <w:pPr>
        <w:spacing w:beforeLines="50" w:before="156" w:afterLines="100" w:after="312" w:line="360" w:lineRule="auto"/>
        <w:ind w:firstLineChars="200" w:firstLine="640"/>
        <w:rPr>
          <w:rFonts w:ascii="仿宋_GB2312" w:eastAsia="仿宋_GB2312"/>
          <w:sz w:val="32"/>
          <w:szCs w:val="32"/>
        </w:rPr>
      </w:pPr>
      <w:r w:rsidRPr="00A476D5">
        <w:rPr>
          <w:rFonts w:ascii="仿宋_GB2312" w:eastAsia="仿宋_GB2312" w:hint="eastAsia"/>
          <w:sz w:val="32"/>
          <w:szCs w:val="32"/>
        </w:rPr>
        <w:t>备注：为了减少银行汇款失败率，最好选择四大行“中国银行、中国建设银行、中国工商银行、中国农业银行”</w:t>
      </w:r>
    </w:p>
    <w:p w14:paraId="0CEC84E2" w14:textId="77777777" w:rsidR="005D16F0" w:rsidRDefault="005D16F0" w:rsidP="005D16F0">
      <w:pPr>
        <w:snapToGrid w:val="0"/>
        <w:spacing w:line="500" w:lineRule="exact"/>
        <w:rPr>
          <w:rFonts w:ascii="Times New Roman" w:eastAsia="方正小标宋简体" w:hAnsi="Times New Roman"/>
          <w:sz w:val="40"/>
          <w:szCs w:val="44"/>
        </w:rPr>
      </w:pPr>
      <w:r>
        <w:rPr>
          <w:rFonts w:ascii="Times New Roman" w:eastAsia="方正小标宋简体" w:hAnsi="Times New Roman" w:hint="eastAsia"/>
          <w:sz w:val="40"/>
          <w:szCs w:val="44"/>
        </w:rPr>
        <w:lastRenderedPageBreak/>
        <w:t>附件</w:t>
      </w:r>
      <w:r>
        <w:rPr>
          <w:rFonts w:ascii="Times New Roman" w:eastAsia="方正小标宋简体" w:hAnsi="Times New Roman" w:hint="eastAsia"/>
          <w:sz w:val="40"/>
          <w:szCs w:val="44"/>
        </w:rPr>
        <w:t>1</w:t>
      </w:r>
    </w:p>
    <w:p w14:paraId="68B27B9C" w14:textId="77777777" w:rsidR="005D16F0" w:rsidRDefault="005D16F0" w:rsidP="005D16F0">
      <w:pPr>
        <w:snapToGrid w:val="0"/>
        <w:spacing w:line="500" w:lineRule="exact"/>
        <w:jc w:val="center"/>
        <w:rPr>
          <w:rFonts w:ascii="黑体" w:eastAsia="黑体" w:hAnsi="黑体" w:cs="黑体"/>
          <w:sz w:val="32"/>
          <w:szCs w:val="32"/>
        </w:rPr>
      </w:pPr>
      <w:r>
        <w:rPr>
          <w:rFonts w:ascii="黑体" w:eastAsia="黑体" w:hAnsi="黑体" w:cs="黑体" w:hint="eastAsia"/>
          <w:sz w:val="32"/>
          <w:szCs w:val="32"/>
        </w:rPr>
        <w:t>2022年申请成人学士学位广东高校联盟外语水平考试</w:t>
      </w:r>
    </w:p>
    <w:p w14:paraId="223D01A4" w14:textId="77777777" w:rsidR="005D16F0" w:rsidRDefault="005D16F0" w:rsidP="005D16F0">
      <w:pPr>
        <w:snapToGrid w:val="0"/>
        <w:spacing w:line="500" w:lineRule="exact"/>
        <w:jc w:val="center"/>
        <w:rPr>
          <w:rFonts w:ascii="黑体" w:eastAsia="黑体" w:hAnsi="黑体" w:cs="黑体"/>
          <w:sz w:val="32"/>
          <w:szCs w:val="32"/>
        </w:rPr>
      </w:pPr>
      <w:r>
        <w:rPr>
          <w:rFonts w:ascii="黑体" w:eastAsia="黑体" w:hAnsi="黑体" w:cs="黑体" w:hint="eastAsia"/>
          <w:sz w:val="32"/>
          <w:szCs w:val="32"/>
        </w:rPr>
        <w:t>健康信息申报表</w:t>
      </w:r>
    </w:p>
    <w:p w14:paraId="1974AE9F" w14:textId="77777777" w:rsidR="005D16F0" w:rsidRDefault="005D16F0" w:rsidP="005D16F0">
      <w:pPr>
        <w:snapToGrid w:val="0"/>
        <w:spacing w:line="500" w:lineRule="exact"/>
        <w:jc w:val="left"/>
        <w:rPr>
          <w:rFonts w:ascii="Times New Roman" w:eastAsia="黑体" w:hAnsi="Times New Roman"/>
          <w:sz w:val="24"/>
          <w:szCs w:val="24"/>
        </w:rPr>
      </w:pPr>
    </w:p>
    <w:p w14:paraId="2C5BCC86" w14:textId="64CB168F" w:rsidR="005D16F0" w:rsidRDefault="005D16F0" w:rsidP="005D16F0">
      <w:pPr>
        <w:snapToGrid w:val="0"/>
        <w:spacing w:line="500" w:lineRule="exact"/>
        <w:jc w:val="left"/>
        <w:rPr>
          <w:rFonts w:ascii="Times New Roman" w:eastAsia="黑体" w:hAnsi="Times New Roman"/>
          <w:sz w:val="24"/>
          <w:szCs w:val="24"/>
          <w:u w:val="single"/>
        </w:rPr>
      </w:pPr>
      <w:r>
        <w:rPr>
          <w:rFonts w:ascii="Times New Roman" w:eastAsia="黑体" w:hAnsi="Times New Roman"/>
          <w:sz w:val="24"/>
          <w:szCs w:val="24"/>
        </w:rPr>
        <w:t>姓名（签名）：</w:t>
      </w:r>
      <w:r>
        <w:rPr>
          <w:rFonts w:ascii="Times New Roman" w:eastAsia="黑体" w:hAnsi="Times New Roman"/>
          <w:sz w:val="24"/>
          <w:szCs w:val="24"/>
          <w:u w:val="single"/>
        </w:rPr>
        <w:t xml:space="preserve">                      </w:t>
      </w:r>
      <w:r w:rsidRPr="005D16F0">
        <w:rPr>
          <w:rFonts w:ascii="Times New Roman" w:eastAsia="黑体" w:hAnsi="Times New Roman"/>
          <w:sz w:val="24"/>
          <w:szCs w:val="24"/>
        </w:rPr>
        <w:t xml:space="preserve"> </w:t>
      </w:r>
      <w:r>
        <w:rPr>
          <w:rFonts w:ascii="Times New Roman" w:eastAsia="黑体" w:hAnsi="Times New Roman"/>
          <w:sz w:val="24"/>
          <w:szCs w:val="24"/>
        </w:rPr>
        <w:t>身份证号码：</w:t>
      </w:r>
      <w:r>
        <w:rPr>
          <w:rFonts w:ascii="Times New Roman" w:eastAsia="黑体" w:hAnsi="Times New Roman"/>
          <w:sz w:val="24"/>
          <w:szCs w:val="24"/>
          <w:u w:val="single"/>
        </w:rPr>
        <w:t xml:space="preserve">                           </w:t>
      </w:r>
    </w:p>
    <w:p w14:paraId="58C20473" w14:textId="5E2D5B37" w:rsidR="005D16F0" w:rsidRDefault="005D16F0" w:rsidP="005D16F0">
      <w:pPr>
        <w:snapToGrid w:val="0"/>
        <w:spacing w:line="500" w:lineRule="exact"/>
        <w:jc w:val="left"/>
        <w:rPr>
          <w:rFonts w:ascii="Times New Roman" w:eastAsia="黑体" w:hAnsi="Times New Roman"/>
          <w:sz w:val="24"/>
          <w:szCs w:val="24"/>
          <w:u w:val="single"/>
        </w:rPr>
      </w:pPr>
      <w:r>
        <w:rPr>
          <w:rFonts w:ascii="Times New Roman" w:eastAsia="黑体" w:hAnsi="Times New Roman"/>
          <w:sz w:val="24"/>
          <w:szCs w:val="24"/>
        </w:rPr>
        <w:t>准考证号码：</w:t>
      </w:r>
      <w:r>
        <w:rPr>
          <w:rFonts w:ascii="Times New Roman" w:eastAsia="黑体" w:hAnsi="Times New Roman"/>
          <w:sz w:val="24"/>
          <w:szCs w:val="24"/>
          <w:u w:val="single"/>
        </w:rPr>
        <w:t xml:space="preserve">                        </w:t>
      </w:r>
      <w:r w:rsidRPr="005D16F0">
        <w:rPr>
          <w:rFonts w:ascii="Times New Roman" w:eastAsia="黑体" w:hAnsi="Times New Roman"/>
          <w:sz w:val="24"/>
          <w:szCs w:val="24"/>
        </w:rPr>
        <w:t xml:space="preserve"> </w:t>
      </w:r>
      <w:r>
        <w:rPr>
          <w:rFonts w:ascii="Times New Roman" w:eastAsia="黑体" w:hAnsi="Times New Roman"/>
          <w:sz w:val="24"/>
          <w:szCs w:val="24"/>
        </w:rPr>
        <w:t>联系电话：</w:t>
      </w:r>
      <w:r>
        <w:rPr>
          <w:rFonts w:ascii="Times New Roman" w:eastAsia="黑体" w:hAnsi="Times New Roman"/>
          <w:sz w:val="24"/>
          <w:szCs w:val="24"/>
          <w:u w:val="single"/>
        </w:rPr>
        <w:t xml:space="preserve">                             </w:t>
      </w:r>
    </w:p>
    <w:p w14:paraId="26318C77" w14:textId="77777777" w:rsidR="005D16F0" w:rsidRDefault="005D16F0" w:rsidP="005D16F0">
      <w:pPr>
        <w:pStyle w:val="BodyText1I2"/>
      </w:pPr>
    </w:p>
    <w:tbl>
      <w:tblPr>
        <w:tblW w:w="9788" w:type="dxa"/>
        <w:jc w:val="center"/>
        <w:tblLayout w:type="fixed"/>
        <w:tblCellMar>
          <w:top w:w="15" w:type="dxa"/>
          <w:left w:w="15" w:type="dxa"/>
          <w:bottom w:w="15" w:type="dxa"/>
          <w:right w:w="15" w:type="dxa"/>
        </w:tblCellMar>
        <w:tblLook w:val="04A0" w:firstRow="1" w:lastRow="0" w:firstColumn="1" w:lastColumn="0" w:noHBand="0" w:noVBand="1"/>
      </w:tblPr>
      <w:tblGrid>
        <w:gridCol w:w="529"/>
        <w:gridCol w:w="975"/>
        <w:gridCol w:w="568"/>
        <w:gridCol w:w="2601"/>
        <w:gridCol w:w="1335"/>
        <w:gridCol w:w="720"/>
        <w:gridCol w:w="2009"/>
        <w:gridCol w:w="1051"/>
      </w:tblGrid>
      <w:tr w:rsidR="005D16F0" w14:paraId="52A45E8B" w14:textId="77777777" w:rsidTr="005D16F0">
        <w:trPr>
          <w:trHeight w:val="236"/>
          <w:tblHeader/>
          <w:jc w:val="center"/>
        </w:trPr>
        <w:tc>
          <w:tcPr>
            <w:tcW w:w="529" w:type="dxa"/>
            <w:vMerge w:val="restart"/>
            <w:tcBorders>
              <w:top w:val="single" w:sz="4" w:space="0" w:color="000000"/>
              <w:left w:val="single" w:sz="4" w:space="0" w:color="000000"/>
              <w:bottom w:val="single" w:sz="4" w:space="0" w:color="000000"/>
              <w:right w:val="single" w:sz="4" w:space="0" w:color="000000"/>
            </w:tcBorders>
            <w:vAlign w:val="center"/>
          </w:tcPr>
          <w:p w14:paraId="55E67F28" w14:textId="77777777" w:rsidR="005D16F0" w:rsidRDefault="005D16F0" w:rsidP="00F458B1">
            <w:pPr>
              <w:widowControl/>
              <w:adjustRightInd w:val="0"/>
              <w:snapToGrid w:val="0"/>
              <w:jc w:val="center"/>
              <w:textAlignment w:val="center"/>
              <w:rPr>
                <w:rFonts w:ascii="Times New Roman" w:eastAsia="黑体" w:hAnsi="Times New Roman"/>
                <w:szCs w:val="20"/>
              </w:rPr>
            </w:pPr>
            <w:r>
              <w:rPr>
                <w:rFonts w:ascii="Times New Roman" w:eastAsia="黑体" w:hAnsi="Times New Roman"/>
                <w:kern w:val="0"/>
                <w:szCs w:val="20"/>
                <w:lang w:bidi="ar"/>
              </w:rPr>
              <w:t>序号</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06A8F7C7" w14:textId="77777777" w:rsidR="005D16F0" w:rsidRDefault="005D16F0" w:rsidP="00F458B1">
            <w:pPr>
              <w:widowControl/>
              <w:adjustRightInd w:val="0"/>
              <w:snapToGrid w:val="0"/>
              <w:jc w:val="center"/>
              <w:textAlignment w:val="center"/>
              <w:rPr>
                <w:rFonts w:ascii="Times New Roman" w:eastAsia="黑体" w:hAnsi="Times New Roman"/>
                <w:szCs w:val="20"/>
              </w:rPr>
            </w:pPr>
            <w:r>
              <w:rPr>
                <w:rFonts w:ascii="Times New Roman" w:eastAsia="黑体" w:hAnsi="Times New Roman"/>
                <w:kern w:val="0"/>
                <w:szCs w:val="20"/>
                <w:lang w:bidi="ar"/>
              </w:rPr>
              <w:t>日期</w:t>
            </w:r>
          </w:p>
        </w:tc>
        <w:tc>
          <w:tcPr>
            <w:tcW w:w="316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B364365" w14:textId="77777777" w:rsidR="005D16F0" w:rsidRDefault="005D16F0" w:rsidP="00F458B1">
            <w:pPr>
              <w:widowControl/>
              <w:adjustRightInd w:val="0"/>
              <w:snapToGrid w:val="0"/>
              <w:jc w:val="center"/>
              <w:textAlignment w:val="center"/>
              <w:rPr>
                <w:rFonts w:ascii="Times New Roman" w:eastAsia="黑体" w:hAnsi="Times New Roman"/>
                <w:szCs w:val="20"/>
              </w:rPr>
            </w:pPr>
            <w:r>
              <w:rPr>
                <w:rFonts w:ascii="Times New Roman" w:eastAsia="黑体" w:hAnsi="Times New Roman"/>
                <w:kern w:val="0"/>
                <w:szCs w:val="20"/>
                <w:lang w:bidi="ar"/>
              </w:rPr>
              <w:t>健康信息</w:t>
            </w:r>
          </w:p>
        </w:tc>
        <w:tc>
          <w:tcPr>
            <w:tcW w:w="4064" w:type="dxa"/>
            <w:gridSpan w:val="3"/>
            <w:tcBorders>
              <w:top w:val="single" w:sz="4" w:space="0" w:color="000000"/>
              <w:left w:val="single" w:sz="4" w:space="0" w:color="000000"/>
              <w:bottom w:val="single" w:sz="4" w:space="0" w:color="000000"/>
              <w:right w:val="single" w:sz="4" w:space="0" w:color="000000"/>
            </w:tcBorders>
            <w:vAlign w:val="center"/>
          </w:tcPr>
          <w:p w14:paraId="0BC432B7" w14:textId="77777777" w:rsidR="005D16F0" w:rsidRDefault="005D16F0" w:rsidP="00F458B1">
            <w:pPr>
              <w:widowControl/>
              <w:adjustRightInd w:val="0"/>
              <w:snapToGrid w:val="0"/>
              <w:jc w:val="center"/>
              <w:textAlignment w:val="center"/>
              <w:rPr>
                <w:rFonts w:ascii="Times New Roman" w:eastAsia="黑体" w:hAnsi="Times New Roman"/>
                <w:szCs w:val="20"/>
              </w:rPr>
            </w:pPr>
            <w:r>
              <w:rPr>
                <w:rFonts w:ascii="Times New Roman" w:eastAsia="黑体" w:hAnsi="Times New Roman"/>
                <w:kern w:val="0"/>
                <w:szCs w:val="20"/>
                <w:lang w:bidi="ar"/>
              </w:rPr>
              <w:t>行程记录</w:t>
            </w:r>
          </w:p>
        </w:tc>
        <w:tc>
          <w:tcPr>
            <w:tcW w:w="1051" w:type="dxa"/>
            <w:vMerge w:val="restart"/>
            <w:tcBorders>
              <w:top w:val="single" w:sz="4" w:space="0" w:color="000000"/>
              <w:left w:val="single" w:sz="4" w:space="0" w:color="000000"/>
              <w:bottom w:val="single" w:sz="4" w:space="0" w:color="000000"/>
              <w:right w:val="single" w:sz="4" w:space="0" w:color="000000"/>
            </w:tcBorders>
            <w:vAlign w:val="center"/>
          </w:tcPr>
          <w:p w14:paraId="00DA52BA" w14:textId="77777777" w:rsidR="005D16F0" w:rsidRDefault="005D16F0" w:rsidP="00F458B1">
            <w:pPr>
              <w:widowControl/>
              <w:adjustRightInd w:val="0"/>
              <w:snapToGrid w:val="0"/>
              <w:jc w:val="center"/>
              <w:textAlignment w:val="center"/>
              <w:rPr>
                <w:rFonts w:ascii="Times New Roman" w:eastAsia="黑体" w:hAnsi="Times New Roman"/>
                <w:sz w:val="20"/>
                <w:szCs w:val="20"/>
              </w:rPr>
            </w:pPr>
            <w:r>
              <w:rPr>
                <w:rFonts w:ascii="Times New Roman" w:eastAsia="黑体" w:hAnsi="Times New Roman"/>
                <w:kern w:val="0"/>
                <w:szCs w:val="20"/>
                <w:lang w:bidi="ar"/>
              </w:rPr>
              <w:t>14</w:t>
            </w:r>
            <w:r>
              <w:rPr>
                <w:rFonts w:ascii="Times New Roman" w:eastAsia="黑体" w:hAnsi="Times New Roman"/>
                <w:kern w:val="0"/>
                <w:szCs w:val="20"/>
                <w:lang w:bidi="ar"/>
              </w:rPr>
              <w:t>天内是否与确诊病例接触</w:t>
            </w:r>
          </w:p>
        </w:tc>
      </w:tr>
      <w:tr w:rsidR="005D16F0" w14:paraId="48097E52" w14:textId="77777777" w:rsidTr="005D16F0">
        <w:trPr>
          <w:trHeight w:val="531"/>
          <w:tblHeader/>
          <w:jc w:val="center"/>
        </w:trPr>
        <w:tc>
          <w:tcPr>
            <w:tcW w:w="529" w:type="dxa"/>
            <w:vMerge/>
            <w:tcBorders>
              <w:top w:val="single" w:sz="4" w:space="0" w:color="000000"/>
              <w:left w:val="single" w:sz="4" w:space="0" w:color="000000"/>
              <w:bottom w:val="single" w:sz="4" w:space="0" w:color="000000"/>
              <w:right w:val="single" w:sz="4" w:space="0" w:color="000000"/>
            </w:tcBorders>
            <w:vAlign w:val="center"/>
          </w:tcPr>
          <w:p w14:paraId="06CBE473" w14:textId="77777777" w:rsidR="005D16F0" w:rsidRDefault="005D16F0" w:rsidP="00F458B1">
            <w:pPr>
              <w:adjustRightInd w:val="0"/>
              <w:snapToGrid w:val="0"/>
              <w:jc w:val="center"/>
              <w:rPr>
                <w:rFonts w:ascii="Times New Roman" w:eastAsia="黑体" w:hAnsi="Times New Roman"/>
                <w:szCs w:val="20"/>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5707C892" w14:textId="77777777" w:rsidR="005D16F0" w:rsidRDefault="005D16F0" w:rsidP="00F458B1">
            <w:pPr>
              <w:adjustRightInd w:val="0"/>
              <w:snapToGrid w:val="0"/>
              <w:jc w:val="center"/>
              <w:rPr>
                <w:rFonts w:ascii="Times New Roman" w:eastAsia="黑体" w:hAnsi="Times New Roman"/>
                <w:szCs w:val="20"/>
              </w:rPr>
            </w:pPr>
          </w:p>
        </w:tc>
        <w:tc>
          <w:tcPr>
            <w:tcW w:w="3169" w:type="dxa"/>
            <w:gridSpan w:val="2"/>
            <w:vMerge/>
            <w:tcBorders>
              <w:top w:val="single" w:sz="4" w:space="0" w:color="000000"/>
              <w:left w:val="single" w:sz="4" w:space="0" w:color="000000"/>
              <w:bottom w:val="single" w:sz="4" w:space="0" w:color="000000"/>
              <w:right w:val="single" w:sz="4" w:space="0" w:color="000000"/>
            </w:tcBorders>
            <w:vAlign w:val="center"/>
          </w:tcPr>
          <w:p w14:paraId="60A67D1A" w14:textId="77777777" w:rsidR="005D16F0" w:rsidRDefault="005D16F0" w:rsidP="00F458B1">
            <w:pPr>
              <w:adjustRightInd w:val="0"/>
              <w:snapToGrid w:val="0"/>
              <w:jc w:val="center"/>
              <w:rPr>
                <w:rFonts w:ascii="Times New Roman" w:eastAsia="黑体" w:hAnsi="Times New Roman"/>
                <w:szCs w:val="20"/>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E1A3625" w14:textId="77777777" w:rsidR="005D16F0" w:rsidRDefault="005D16F0" w:rsidP="00F458B1">
            <w:pPr>
              <w:widowControl/>
              <w:adjustRightInd w:val="0"/>
              <w:snapToGrid w:val="0"/>
              <w:jc w:val="center"/>
              <w:textAlignment w:val="center"/>
              <w:rPr>
                <w:rFonts w:ascii="Times New Roman" w:eastAsia="黑体" w:hAnsi="Times New Roman"/>
                <w:szCs w:val="20"/>
              </w:rPr>
            </w:pPr>
            <w:r>
              <w:rPr>
                <w:rFonts w:ascii="Times New Roman" w:eastAsia="黑体" w:hAnsi="Times New Roman"/>
                <w:kern w:val="0"/>
                <w:szCs w:val="20"/>
                <w:lang w:bidi="ar"/>
              </w:rPr>
              <w:t>是否离开过</w:t>
            </w:r>
            <w:r>
              <w:rPr>
                <w:rFonts w:ascii="Times New Roman" w:eastAsia="黑体" w:hAnsi="Times New Roman" w:hint="eastAsia"/>
                <w:kern w:val="0"/>
                <w:szCs w:val="20"/>
                <w:lang w:bidi="ar"/>
              </w:rPr>
              <w:t>考点所在地级市</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14:paraId="7E9C1243" w14:textId="77777777" w:rsidR="005D16F0" w:rsidRDefault="005D16F0" w:rsidP="00F458B1">
            <w:pPr>
              <w:widowControl/>
              <w:adjustRightInd w:val="0"/>
              <w:snapToGrid w:val="0"/>
              <w:jc w:val="center"/>
              <w:textAlignment w:val="center"/>
              <w:rPr>
                <w:rFonts w:ascii="Times New Roman" w:eastAsia="黑体" w:hAnsi="Times New Roman"/>
                <w:kern w:val="0"/>
                <w:szCs w:val="20"/>
                <w:lang w:bidi="ar"/>
              </w:rPr>
            </w:pPr>
            <w:r>
              <w:rPr>
                <w:rFonts w:ascii="Times New Roman" w:eastAsia="黑体" w:hAnsi="Times New Roman"/>
                <w:kern w:val="0"/>
                <w:szCs w:val="20"/>
                <w:lang w:bidi="ar"/>
              </w:rPr>
              <w:t>是否去过疫情高、中风险及</w:t>
            </w:r>
          </w:p>
          <w:p w14:paraId="4475990A" w14:textId="77777777" w:rsidR="005D16F0" w:rsidRDefault="005D16F0" w:rsidP="00F458B1">
            <w:pPr>
              <w:widowControl/>
              <w:adjustRightInd w:val="0"/>
              <w:snapToGrid w:val="0"/>
              <w:jc w:val="center"/>
              <w:textAlignment w:val="center"/>
              <w:rPr>
                <w:rFonts w:ascii="Times New Roman" w:eastAsia="黑体" w:hAnsi="Times New Roman"/>
                <w:szCs w:val="20"/>
              </w:rPr>
            </w:pPr>
            <w:r>
              <w:rPr>
                <w:rFonts w:ascii="Times New Roman" w:eastAsia="黑体" w:hAnsi="Times New Roman"/>
                <w:kern w:val="0"/>
                <w:szCs w:val="20"/>
                <w:lang w:bidi="ar"/>
              </w:rPr>
              <w:t>重点地区</w:t>
            </w:r>
          </w:p>
        </w:tc>
        <w:tc>
          <w:tcPr>
            <w:tcW w:w="1051" w:type="dxa"/>
            <w:vMerge/>
            <w:tcBorders>
              <w:top w:val="single" w:sz="4" w:space="0" w:color="000000"/>
              <w:left w:val="single" w:sz="4" w:space="0" w:color="000000"/>
              <w:bottom w:val="single" w:sz="4" w:space="0" w:color="000000"/>
              <w:right w:val="single" w:sz="4" w:space="0" w:color="000000"/>
            </w:tcBorders>
            <w:vAlign w:val="center"/>
          </w:tcPr>
          <w:p w14:paraId="6E7CE27B" w14:textId="77777777" w:rsidR="005D16F0" w:rsidRDefault="005D16F0" w:rsidP="00F458B1">
            <w:pPr>
              <w:adjustRightInd w:val="0"/>
              <w:snapToGrid w:val="0"/>
              <w:jc w:val="center"/>
              <w:rPr>
                <w:rFonts w:ascii="Times New Roman" w:eastAsia="仿宋_GB2312" w:hAnsi="Times New Roman"/>
                <w:b/>
                <w:sz w:val="20"/>
                <w:szCs w:val="20"/>
              </w:rPr>
            </w:pPr>
          </w:p>
        </w:tc>
      </w:tr>
      <w:tr w:rsidR="005D16F0" w14:paraId="0F047049" w14:textId="77777777" w:rsidTr="005D16F0">
        <w:trPr>
          <w:trHeight w:val="544"/>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2F3FF086"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w:t>
            </w:r>
          </w:p>
        </w:tc>
        <w:tc>
          <w:tcPr>
            <w:tcW w:w="975" w:type="dxa"/>
            <w:tcBorders>
              <w:top w:val="single" w:sz="4" w:space="0" w:color="000000"/>
              <w:left w:val="single" w:sz="4" w:space="0" w:color="000000"/>
              <w:bottom w:val="single" w:sz="4" w:space="0" w:color="000000"/>
              <w:right w:val="single" w:sz="4" w:space="0" w:color="000000"/>
            </w:tcBorders>
            <w:vAlign w:val="center"/>
          </w:tcPr>
          <w:p w14:paraId="42FB0B43"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33EBE73A"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7C126665"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68EF3816"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3C478686"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1F00970D"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74AF956D"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53B29169" w14:textId="77777777" w:rsidTr="005D16F0">
        <w:trPr>
          <w:trHeight w:val="524"/>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38545366"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2</w:t>
            </w:r>
          </w:p>
        </w:tc>
        <w:tc>
          <w:tcPr>
            <w:tcW w:w="975" w:type="dxa"/>
            <w:tcBorders>
              <w:top w:val="single" w:sz="4" w:space="0" w:color="000000"/>
              <w:left w:val="single" w:sz="4" w:space="0" w:color="000000"/>
              <w:bottom w:val="single" w:sz="4" w:space="0" w:color="000000"/>
              <w:right w:val="single" w:sz="4" w:space="0" w:color="000000"/>
            </w:tcBorders>
            <w:vAlign w:val="center"/>
          </w:tcPr>
          <w:p w14:paraId="16103059"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2</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061B73F8"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663C95F5"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3D51BFEE"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043CE4D5"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2F236AEA"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7CC95AF0"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453DFB14" w14:textId="77777777" w:rsidTr="005D16F0">
        <w:trPr>
          <w:trHeight w:val="474"/>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04815C77"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3</w:t>
            </w:r>
          </w:p>
        </w:tc>
        <w:tc>
          <w:tcPr>
            <w:tcW w:w="975" w:type="dxa"/>
            <w:tcBorders>
              <w:top w:val="single" w:sz="4" w:space="0" w:color="000000"/>
              <w:left w:val="single" w:sz="4" w:space="0" w:color="000000"/>
              <w:bottom w:val="single" w:sz="4" w:space="0" w:color="000000"/>
              <w:right w:val="single" w:sz="4" w:space="0" w:color="000000"/>
            </w:tcBorders>
            <w:vAlign w:val="center"/>
          </w:tcPr>
          <w:p w14:paraId="71C4E33F"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3</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294ED38F"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5016EF89"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1AF04BC4"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0F974E63"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3AA6D793"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2DA8F14E"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30126EAF" w14:textId="77777777" w:rsidTr="005D16F0">
        <w:trPr>
          <w:trHeight w:val="514"/>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75D5FB84"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vAlign w:val="center"/>
          </w:tcPr>
          <w:p w14:paraId="2D1EDB35" w14:textId="77777777" w:rsidR="005D16F0" w:rsidRDefault="005D16F0" w:rsidP="00F458B1">
            <w:pPr>
              <w:widowControl/>
              <w:adjustRightInd w:val="0"/>
              <w:snapToGrid w:val="0"/>
              <w:jc w:val="center"/>
              <w:textAlignment w:val="center"/>
              <w:rPr>
                <w:rFonts w:ascii="Times New Roman" w:eastAsia="仿宋_GB2312" w:hAnsi="Times New Roman" w:cs="宋体"/>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4</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13CC5B98"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21E299CE"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0D334789"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034C0221"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15FA57AD"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4002375B"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2D1A3182" w14:textId="77777777" w:rsidTr="005D16F0">
        <w:trPr>
          <w:trHeight w:val="439"/>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4E2CF422"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5</w:t>
            </w:r>
          </w:p>
        </w:tc>
        <w:tc>
          <w:tcPr>
            <w:tcW w:w="975" w:type="dxa"/>
            <w:tcBorders>
              <w:top w:val="single" w:sz="4" w:space="0" w:color="000000"/>
              <w:left w:val="single" w:sz="4" w:space="0" w:color="000000"/>
              <w:bottom w:val="single" w:sz="4" w:space="0" w:color="000000"/>
              <w:right w:val="single" w:sz="4" w:space="0" w:color="000000"/>
            </w:tcBorders>
            <w:vAlign w:val="center"/>
          </w:tcPr>
          <w:p w14:paraId="2D9E9DE9" w14:textId="77777777" w:rsidR="005D16F0" w:rsidRDefault="005D16F0" w:rsidP="00F458B1">
            <w:pPr>
              <w:widowControl/>
              <w:adjustRightInd w:val="0"/>
              <w:snapToGrid w:val="0"/>
              <w:jc w:val="center"/>
              <w:textAlignment w:val="center"/>
              <w:rPr>
                <w:rFonts w:ascii="Times New Roman" w:eastAsia="仿宋_GB2312" w:hAnsi="Times New Roman" w:cs="宋体"/>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391CBA27"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1E1E4116"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09B3B772"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4E914AB5"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36EBE7BB"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1325D2F1"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370A4DB8" w14:textId="77777777" w:rsidTr="005D16F0">
        <w:trPr>
          <w:trHeight w:val="569"/>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60EA066A"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6</w:t>
            </w:r>
          </w:p>
        </w:tc>
        <w:tc>
          <w:tcPr>
            <w:tcW w:w="975" w:type="dxa"/>
            <w:tcBorders>
              <w:top w:val="single" w:sz="4" w:space="0" w:color="000000"/>
              <w:left w:val="single" w:sz="4" w:space="0" w:color="000000"/>
              <w:bottom w:val="single" w:sz="4" w:space="0" w:color="000000"/>
              <w:right w:val="single" w:sz="4" w:space="0" w:color="000000"/>
            </w:tcBorders>
            <w:vAlign w:val="center"/>
          </w:tcPr>
          <w:p w14:paraId="0D050793" w14:textId="77777777" w:rsidR="005D16F0" w:rsidRDefault="005D16F0" w:rsidP="00F458B1">
            <w:pPr>
              <w:widowControl/>
              <w:adjustRightInd w:val="0"/>
              <w:snapToGrid w:val="0"/>
              <w:jc w:val="center"/>
              <w:textAlignment w:val="center"/>
              <w:rPr>
                <w:rFonts w:ascii="Times New Roman" w:eastAsia="仿宋_GB2312" w:hAnsi="Times New Roman" w:cs="宋体"/>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6</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15003792"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4460931D"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47F8866B"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24498A45"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344A32E9"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1D8FF72D"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1CF02490" w14:textId="77777777" w:rsidTr="005D16F0">
        <w:trPr>
          <w:trHeight w:val="529"/>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2154538D"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7</w:t>
            </w:r>
          </w:p>
        </w:tc>
        <w:tc>
          <w:tcPr>
            <w:tcW w:w="975" w:type="dxa"/>
            <w:tcBorders>
              <w:top w:val="single" w:sz="4" w:space="0" w:color="000000"/>
              <w:left w:val="single" w:sz="4" w:space="0" w:color="000000"/>
              <w:bottom w:val="single" w:sz="4" w:space="0" w:color="000000"/>
              <w:right w:val="single" w:sz="4" w:space="0" w:color="000000"/>
            </w:tcBorders>
            <w:vAlign w:val="center"/>
          </w:tcPr>
          <w:p w14:paraId="3B161B8B" w14:textId="77777777" w:rsidR="005D16F0" w:rsidRDefault="005D16F0" w:rsidP="00F458B1">
            <w:pPr>
              <w:widowControl/>
              <w:adjustRightInd w:val="0"/>
              <w:snapToGrid w:val="0"/>
              <w:jc w:val="center"/>
              <w:textAlignment w:val="center"/>
              <w:rPr>
                <w:rFonts w:ascii="Times New Roman" w:eastAsia="仿宋_GB2312" w:hAnsi="Times New Roman" w:cs="宋体"/>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5A2B7CBC"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515D1EF3"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7C792445"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4E715CA8"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6DFC80F4"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0AEC0E60"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146D328D" w14:textId="77777777" w:rsidTr="005D16F0">
        <w:trPr>
          <w:trHeight w:val="499"/>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43B757D1"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8</w:t>
            </w:r>
          </w:p>
        </w:tc>
        <w:tc>
          <w:tcPr>
            <w:tcW w:w="975" w:type="dxa"/>
            <w:tcBorders>
              <w:top w:val="single" w:sz="4" w:space="0" w:color="000000"/>
              <w:left w:val="single" w:sz="4" w:space="0" w:color="000000"/>
              <w:bottom w:val="single" w:sz="4" w:space="0" w:color="000000"/>
              <w:right w:val="single" w:sz="4" w:space="0" w:color="000000"/>
            </w:tcBorders>
            <w:vAlign w:val="center"/>
          </w:tcPr>
          <w:p w14:paraId="6BB0CCE8" w14:textId="77777777" w:rsidR="005D16F0" w:rsidRDefault="005D16F0" w:rsidP="00F458B1">
            <w:pPr>
              <w:widowControl/>
              <w:adjustRightInd w:val="0"/>
              <w:snapToGrid w:val="0"/>
              <w:jc w:val="center"/>
              <w:textAlignment w:val="center"/>
              <w:rPr>
                <w:rFonts w:ascii="Times New Roman" w:eastAsia="仿宋_GB2312" w:hAnsi="Times New Roman" w:cs="宋体"/>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8</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78B1D444"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59293BCC"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1DE7EE22"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65A74CD7"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5E3BC0AD"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355B8E41"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5FC8B6B8" w14:textId="77777777" w:rsidTr="005D16F0">
        <w:trPr>
          <w:trHeight w:val="559"/>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3C390405"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9</w:t>
            </w:r>
          </w:p>
        </w:tc>
        <w:tc>
          <w:tcPr>
            <w:tcW w:w="975" w:type="dxa"/>
            <w:tcBorders>
              <w:top w:val="single" w:sz="4" w:space="0" w:color="000000"/>
              <w:left w:val="single" w:sz="4" w:space="0" w:color="000000"/>
              <w:bottom w:val="single" w:sz="4" w:space="0" w:color="000000"/>
              <w:right w:val="single" w:sz="4" w:space="0" w:color="000000"/>
            </w:tcBorders>
            <w:vAlign w:val="center"/>
          </w:tcPr>
          <w:p w14:paraId="725C0184" w14:textId="77777777" w:rsidR="005D16F0" w:rsidRDefault="005D16F0" w:rsidP="00F458B1">
            <w:pPr>
              <w:widowControl/>
              <w:adjustRightInd w:val="0"/>
              <w:snapToGrid w:val="0"/>
              <w:jc w:val="center"/>
              <w:textAlignment w:val="center"/>
              <w:rPr>
                <w:rFonts w:ascii="Times New Roman" w:eastAsia="仿宋_GB2312" w:hAnsi="Times New Roman" w:cs="宋体"/>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9</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4EB30CA7"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45F94B7E"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07D1FF09"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1E31C314"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7615A2B1"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370F44A1"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3B62C8F0" w14:textId="77777777" w:rsidTr="005D16F0">
        <w:trPr>
          <w:trHeight w:val="529"/>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32168FB4"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10</w:t>
            </w:r>
          </w:p>
        </w:tc>
        <w:tc>
          <w:tcPr>
            <w:tcW w:w="975" w:type="dxa"/>
            <w:tcBorders>
              <w:top w:val="single" w:sz="4" w:space="0" w:color="000000"/>
              <w:left w:val="single" w:sz="4" w:space="0" w:color="000000"/>
              <w:bottom w:val="single" w:sz="4" w:space="0" w:color="000000"/>
              <w:right w:val="single" w:sz="4" w:space="0" w:color="000000"/>
            </w:tcBorders>
            <w:vAlign w:val="center"/>
          </w:tcPr>
          <w:p w14:paraId="2693C495" w14:textId="77777777" w:rsidR="005D16F0" w:rsidRDefault="005D16F0" w:rsidP="00F458B1">
            <w:pPr>
              <w:widowControl/>
              <w:adjustRightInd w:val="0"/>
              <w:snapToGrid w:val="0"/>
              <w:jc w:val="center"/>
              <w:textAlignment w:val="center"/>
              <w:rPr>
                <w:rFonts w:ascii="Times New Roman" w:eastAsia="仿宋_GB2312" w:hAnsi="Times New Roman" w:cs="宋体"/>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10</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0DE959F4"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4C2CA69A"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68004E4A"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6EC85FBF"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180E0DB0"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6E2FD09B"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4C4CBBB5" w14:textId="77777777" w:rsidTr="005D16F0">
        <w:trPr>
          <w:trHeight w:val="584"/>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57C37820"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11</w:t>
            </w:r>
          </w:p>
        </w:tc>
        <w:tc>
          <w:tcPr>
            <w:tcW w:w="975" w:type="dxa"/>
            <w:tcBorders>
              <w:top w:val="single" w:sz="4" w:space="0" w:color="000000"/>
              <w:left w:val="single" w:sz="4" w:space="0" w:color="000000"/>
              <w:bottom w:val="single" w:sz="4" w:space="0" w:color="000000"/>
              <w:right w:val="single" w:sz="4" w:space="0" w:color="000000"/>
            </w:tcBorders>
            <w:vAlign w:val="center"/>
          </w:tcPr>
          <w:p w14:paraId="00E454C5"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11</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5294C7AE"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30BD4E4E"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6971E172"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50E2CDD2"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27FED159"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75B217EC"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117EE0CF" w14:textId="77777777" w:rsidTr="005D16F0">
        <w:trPr>
          <w:trHeight w:val="469"/>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36C9FC13"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12</w:t>
            </w:r>
          </w:p>
        </w:tc>
        <w:tc>
          <w:tcPr>
            <w:tcW w:w="975" w:type="dxa"/>
            <w:tcBorders>
              <w:top w:val="single" w:sz="4" w:space="0" w:color="000000"/>
              <w:left w:val="single" w:sz="4" w:space="0" w:color="000000"/>
              <w:bottom w:val="single" w:sz="4" w:space="0" w:color="000000"/>
              <w:right w:val="single" w:sz="4" w:space="0" w:color="000000"/>
            </w:tcBorders>
            <w:vAlign w:val="center"/>
          </w:tcPr>
          <w:p w14:paraId="7DD83F43"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12</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6BFFEFCA"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549EFB5D"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721DF6AC"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028D272A"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7C242157"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111FF175"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1CDB987B" w14:textId="77777777" w:rsidTr="005D16F0">
        <w:trPr>
          <w:trHeight w:val="584"/>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4B832DBB"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13</w:t>
            </w:r>
          </w:p>
        </w:tc>
        <w:tc>
          <w:tcPr>
            <w:tcW w:w="975" w:type="dxa"/>
            <w:tcBorders>
              <w:top w:val="single" w:sz="4" w:space="0" w:color="000000"/>
              <w:left w:val="single" w:sz="4" w:space="0" w:color="000000"/>
              <w:bottom w:val="single" w:sz="4" w:space="0" w:color="000000"/>
              <w:right w:val="single" w:sz="4" w:space="0" w:color="000000"/>
            </w:tcBorders>
            <w:vAlign w:val="center"/>
          </w:tcPr>
          <w:p w14:paraId="027E322F"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13</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3E57E0FC"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4C5EE7F5"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6FF58CA0"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3A20C22C"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15C5E921"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648D53FA"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r w:rsidR="005D16F0" w14:paraId="7266F26C" w14:textId="77777777" w:rsidTr="005D16F0">
        <w:trPr>
          <w:trHeight w:val="599"/>
          <w:jc w:val="center"/>
        </w:trPr>
        <w:tc>
          <w:tcPr>
            <w:tcW w:w="529" w:type="dxa"/>
            <w:tcBorders>
              <w:top w:val="single" w:sz="4" w:space="0" w:color="000000"/>
              <w:left w:val="single" w:sz="4" w:space="0" w:color="000000"/>
              <w:bottom w:val="single" w:sz="4" w:space="0" w:color="000000"/>
              <w:right w:val="single" w:sz="4" w:space="0" w:color="000000"/>
            </w:tcBorders>
            <w:vAlign w:val="center"/>
          </w:tcPr>
          <w:p w14:paraId="2F75676C"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14</w:t>
            </w:r>
          </w:p>
        </w:tc>
        <w:tc>
          <w:tcPr>
            <w:tcW w:w="975" w:type="dxa"/>
            <w:tcBorders>
              <w:top w:val="single" w:sz="4" w:space="0" w:color="000000"/>
              <w:left w:val="single" w:sz="4" w:space="0" w:color="000000"/>
              <w:bottom w:val="single" w:sz="4" w:space="0" w:color="000000"/>
              <w:right w:val="single" w:sz="4" w:space="0" w:color="000000"/>
            </w:tcBorders>
            <w:vAlign w:val="center"/>
          </w:tcPr>
          <w:p w14:paraId="460D71AD"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14</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14:paraId="0CCED2B7"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601" w:type="dxa"/>
            <w:tcBorders>
              <w:top w:val="single" w:sz="4" w:space="0" w:color="000000"/>
              <w:left w:val="single" w:sz="4" w:space="0" w:color="000000"/>
              <w:bottom w:val="single" w:sz="4" w:space="0" w:color="000000"/>
              <w:right w:val="single" w:sz="4" w:space="0" w:color="000000"/>
            </w:tcBorders>
          </w:tcPr>
          <w:p w14:paraId="75767A4A"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14:paraId="5D3E517B"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14:paraId="3AC8CB67"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14:paraId="44300197" w14:textId="77777777" w:rsidR="005D16F0" w:rsidRDefault="005D16F0" w:rsidP="00F458B1">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14:paraId="00B9C92A" w14:textId="77777777" w:rsidR="005D16F0" w:rsidRDefault="005D16F0" w:rsidP="00F458B1">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r>
    </w:tbl>
    <w:p w14:paraId="5908C61D" w14:textId="77777777" w:rsidR="005D16F0" w:rsidRDefault="005D16F0" w:rsidP="005D16F0">
      <w:pPr>
        <w:pStyle w:val="BodyText1I2"/>
        <w:snapToGrid w:val="0"/>
        <w:spacing w:line="360" w:lineRule="exact"/>
        <w:ind w:firstLineChars="0" w:firstLine="0"/>
        <w:jc w:val="left"/>
      </w:pPr>
      <w:r>
        <w:rPr>
          <w:rFonts w:eastAsia="仿宋_GB2312"/>
          <w:sz w:val="24"/>
        </w:rPr>
        <w:t>注</w:t>
      </w:r>
      <w:r>
        <w:rPr>
          <w:rFonts w:eastAsia="仿宋_GB2312"/>
          <w:sz w:val="24"/>
        </w:rPr>
        <w:t>: 1.</w:t>
      </w:r>
      <w:r>
        <w:rPr>
          <w:rFonts w:eastAsia="仿宋_GB2312"/>
          <w:sz w:val="24"/>
        </w:rPr>
        <w:t>考生须认真、如实申报，在相应的</w:t>
      </w:r>
      <w:r>
        <w:rPr>
          <w:kern w:val="0"/>
          <w:sz w:val="20"/>
          <w:szCs w:val="20"/>
          <w:lang w:bidi="ar"/>
        </w:rPr>
        <w:t>□</w:t>
      </w:r>
      <w:r>
        <w:rPr>
          <w:kern w:val="0"/>
          <w:sz w:val="20"/>
          <w:szCs w:val="20"/>
          <w:lang w:bidi="ar"/>
        </w:rPr>
        <w:t>内打</w:t>
      </w:r>
      <w:r>
        <w:rPr>
          <w:kern w:val="0"/>
          <w:sz w:val="20"/>
          <w:szCs w:val="20"/>
          <w:lang w:bidi="ar"/>
        </w:rPr>
        <w:t>√</w:t>
      </w:r>
      <w:r>
        <w:rPr>
          <w:rFonts w:eastAsia="仿宋_GB2312"/>
          <w:sz w:val="24"/>
        </w:rPr>
        <w:t>。如出现感冒样症状，喘憋、呼吸急促恶心呕吐、腹泻，心慌、胸闷，结膜炎以及其他异常的须如实填写信息情况。</w:t>
      </w:r>
    </w:p>
    <w:p w14:paraId="11E84610" w14:textId="091C093D" w:rsidR="005D16F0" w:rsidRPr="005D16F0" w:rsidRDefault="005D16F0" w:rsidP="005D16F0">
      <w:pPr>
        <w:adjustRightInd w:val="0"/>
        <w:snapToGrid w:val="0"/>
        <w:spacing w:line="360" w:lineRule="exact"/>
        <w:ind w:firstLineChars="200" w:firstLine="480"/>
        <w:jc w:val="left"/>
      </w:pPr>
      <w:r>
        <w:rPr>
          <w:rFonts w:ascii="Times New Roman" w:eastAsia="仿宋_GB2312" w:hAnsi="Times New Roman"/>
          <w:sz w:val="24"/>
        </w:rPr>
        <w:t>2.</w:t>
      </w:r>
      <w:r>
        <w:rPr>
          <w:rFonts w:ascii="Times New Roman" w:eastAsia="仿宋_GB2312" w:hAnsi="Times New Roman"/>
          <w:sz w:val="24"/>
        </w:rPr>
        <w:t>考生应自行打印、填写本申报表，</w:t>
      </w:r>
      <w:r>
        <w:rPr>
          <w:rFonts w:ascii="Times New Roman" w:eastAsia="仿宋_GB2312" w:hAnsi="Times New Roman" w:hint="eastAsia"/>
          <w:sz w:val="24"/>
        </w:rPr>
        <w:t>进入考试</w:t>
      </w:r>
      <w:r>
        <w:rPr>
          <w:rFonts w:ascii="Times New Roman" w:eastAsia="仿宋_GB2312" w:hAnsi="Times New Roman"/>
          <w:sz w:val="24"/>
        </w:rPr>
        <w:t>考点时</w:t>
      </w:r>
      <w:r>
        <w:rPr>
          <w:rFonts w:ascii="Times New Roman" w:eastAsia="仿宋_GB2312" w:hAnsi="Times New Roman" w:hint="eastAsia"/>
          <w:sz w:val="24"/>
        </w:rPr>
        <w:t>，须</w:t>
      </w:r>
      <w:r>
        <w:rPr>
          <w:rFonts w:ascii="Times New Roman" w:eastAsia="仿宋_GB2312" w:hAnsi="Times New Roman"/>
          <w:sz w:val="24"/>
        </w:rPr>
        <w:t>向</w:t>
      </w:r>
      <w:r>
        <w:rPr>
          <w:rFonts w:ascii="Times New Roman" w:eastAsia="仿宋_GB2312" w:hAnsi="Times New Roman" w:hint="eastAsia"/>
          <w:sz w:val="24"/>
        </w:rPr>
        <w:t>考点</w:t>
      </w:r>
      <w:r>
        <w:rPr>
          <w:rFonts w:ascii="Times New Roman" w:eastAsia="仿宋_GB2312" w:hAnsi="Times New Roman"/>
          <w:sz w:val="24"/>
        </w:rPr>
        <w:t>工作人员提</w:t>
      </w:r>
      <w:r>
        <w:rPr>
          <w:rFonts w:ascii="Times New Roman" w:eastAsia="仿宋_GB2312" w:hAnsi="Times New Roman" w:hint="eastAsia"/>
          <w:sz w:val="24"/>
        </w:rPr>
        <w:t>交本申报表</w:t>
      </w:r>
      <w:r>
        <w:rPr>
          <w:rFonts w:ascii="Times New Roman" w:eastAsia="仿宋_GB2312" w:hAnsi="Times New Roman"/>
          <w:sz w:val="24"/>
        </w:rPr>
        <w:t>。</w:t>
      </w:r>
    </w:p>
    <w:sectPr w:rsidR="005D16F0" w:rsidRPr="005D16F0">
      <w:pgSz w:w="11906" w:h="16838"/>
      <w:pgMar w:top="1134" w:right="1417" w:bottom="1134"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1803" w14:textId="77777777" w:rsidR="0015446B" w:rsidRDefault="0015446B" w:rsidP="00B61A28">
      <w:r>
        <w:separator/>
      </w:r>
    </w:p>
  </w:endnote>
  <w:endnote w:type="continuationSeparator" w:id="0">
    <w:p w14:paraId="08D2846D" w14:textId="77777777" w:rsidR="0015446B" w:rsidRDefault="0015446B" w:rsidP="00B6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4C6B" w14:textId="77777777" w:rsidR="0015446B" w:rsidRDefault="0015446B" w:rsidP="00B61A28">
      <w:r>
        <w:separator/>
      </w:r>
    </w:p>
  </w:footnote>
  <w:footnote w:type="continuationSeparator" w:id="0">
    <w:p w14:paraId="2FDD743E" w14:textId="77777777" w:rsidR="0015446B" w:rsidRDefault="0015446B" w:rsidP="00B61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B6"/>
    <w:rsid w:val="000275D5"/>
    <w:rsid w:val="00125EDB"/>
    <w:rsid w:val="001278A0"/>
    <w:rsid w:val="0015446B"/>
    <w:rsid w:val="00190CE0"/>
    <w:rsid w:val="001F293D"/>
    <w:rsid w:val="00387822"/>
    <w:rsid w:val="003949B6"/>
    <w:rsid w:val="00401516"/>
    <w:rsid w:val="0042124F"/>
    <w:rsid w:val="00505680"/>
    <w:rsid w:val="00563462"/>
    <w:rsid w:val="005D16F0"/>
    <w:rsid w:val="00635601"/>
    <w:rsid w:val="0067433C"/>
    <w:rsid w:val="006E47E2"/>
    <w:rsid w:val="007271DB"/>
    <w:rsid w:val="007C750B"/>
    <w:rsid w:val="00885EAD"/>
    <w:rsid w:val="00943174"/>
    <w:rsid w:val="00971ED6"/>
    <w:rsid w:val="0097788F"/>
    <w:rsid w:val="009B0C74"/>
    <w:rsid w:val="00A1068C"/>
    <w:rsid w:val="00A378D0"/>
    <w:rsid w:val="00A37FAF"/>
    <w:rsid w:val="00A476D5"/>
    <w:rsid w:val="00A82A99"/>
    <w:rsid w:val="00AF2B54"/>
    <w:rsid w:val="00B27C98"/>
    <w:rsid w:val="00B61A28"/>
    <w:rsid w:val="00BB1013"/>
    <w:rsid w:val="00C4030A"/>
    <w:rsid w:val="00C72D34"/>
    <w:rsid w:val="00C75EF0"/>
    <w:rsid w:val="00CA6DE1"/>
    <w:rsid w:val="00CC233D"/>
    <w:rsid w:val="00CC6D43"/>
    <w:rsid w:val="00CC70D8"/>
    <w:rsid w:val="00CE24E4"/>
    <w:rsid w:val="00DB02CC"/>
    <w:rsid w:val="00DB41B2"/>
    <w:rsid w:val="00DC10E7"/>
    <w:rsid w:val="00DF48EF"/>
    <w:rsid w:val="00F20D01"/>
    <w:rsid w:val="00F57457"/>
    <w:rsid w:val="00F90A4A"/>
    <w:rsid w:val="024D7826"/>
    <w:rsid w:val="06987C9F"/>
    <w:rsid w:val="08FB2C0B"/>
    <w:rsid w:val="0AF00198"/>
    <w:rsid w:val="0EAB476E"/>
    <w:rsid w:val="124D44D7"/>
    <w:rsid w:val="135E70DE"/>
    <w:rsid w:val="17672573"/>
    <w:rsid w:val="1E5D13C9"/>
    <w:rsid w:val="285C5C6C"/>
    <w:rsid w:val="2C585D87"/>
    <w:rsid w:val="2DF27DB7"/>
    <w:rsid w:val="3B450924"/>
    <w:rsid w:val="3CB34BC3"/>
    <w:rsid w:val="41646408"/>
    <w:rsid w:val="41D80161"/>
    <w:rsid w:val="42346199"/>
    <w:rsid w:val="42431203"/>
    <w:rsid w:val="431C301D"/>
    <w:rsid w:val="47E27C99"/>
    <w:rsid w:val="4A0A2CF1"/>
    <w:rsid w:val="4ACA1B8C"/>
    <w:rsid w:val="4B284BDC"/>
    <w:rsid w:val="4B2F5617"/>
    <w:rsid w:val="4E107A78"/>
    <w:rsid w:val="4ED831F3"/>
    <w:rsid w:val="53FB136D"/>
    <w:rsid w:val="55AA5FE5"/>
    <w:rsid w:val="582D30F4"/>
    <w:rsid w:val="5A377D1D"/>
    <w:rsid w:val="5D6058BC"/>
    <w:rsid w:val="70714797"/>
    <w:rsid w:val="71B47F05"/>
    <w:rsid w:val="78F6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44CCE"/>
  <w15:docId w15:val="{F30F6203-383D-45A1-87C0-7A379295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1I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next w:val="a"/>
    <w:qFormat/>
    <w:pPr>
      <w:ind w:firstLineChars="200" w:firstLine="420"/>
    </w:pPr>
    <w:rPr>
      <w:rFonts w:ascii="Times New Roman"/>
    </w:rPr>
  </w:style>
  <w:style w:type="paragraph" w:customStyle="1" w:styleId="BodyTextIndent">
    <w:name w:val="BodyTextIndent"/>
    <w:basedOn w:val="a"/>
    <w:qFormat/>
    <w:pPr>
      <w:ind w:firstLineChars="225" w:firstLine="720"/>
      <w:textAlignment w:val="baseline"/>
    </w:pPr>
    <w:rPr>
      <w:rFonts w:ascii="仿宋_GB2312" w:eastAsia="宋体" w:hAnsi="Times New Roman" w:cs="Times New Roman"/>
      <w:szCs w:val="3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timestyle53824">
    <w:name w:val="timestyle53824"/>
    <w:basedOn w:val="a0"/>
    <w:qFormat/>
  </w:style>
  <w:style w:type="character" w:customStyle="1" w:styleId="authorstyle53824">
    <w:name w:val="authorstyle53824"/>
    <w:basedOn w:val="a0"/>
    <w:qFormat/>
  </w:style>
  <w:style w:type="character" w:customStyle="1" w:styleId="clickstyle53824">
    <w:name w:val="clickstyle53824"/>
    <w:basedOn w:val="a0"/>
    <w:qFormat/>
  </w:style>
  <w:style w:type="paragraph" w:customStyle="1" w:styleId="vsbcontentstart">
    <w:name w:val="vsbcontent_start"/>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469</Words>
  <Characters>2678</Characters>
  <Application>Microsoft Office Word</Application>
  <DocSecurity>0</DocSecurity>
  <Lines>22</Lines>
  <Paragraphs>6</Paragraphs>
  <ScaleCrop>false</ScaleCrop>
  <Company>Sky123.Org</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Ng Aalon</cp:lastModifiedBy>
  <cp:revision>10</cp:revision>
  <cp:lastPrinted>2022-03-29T04:51:00Z</cp:lastPrinted>
  <dcterms:created xsi:type="dcterms:W3CDTF">2022-04-29T07:39:00Z</dcterms:created>
  <dcterms:modified xsi:type="dcterms:W3CDTF">2022-04-29T08:59:00Z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4BF75D42791A429986F66C6327D14ACE</vt:lpwstr>
  </property>
</Properties>
</file>